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569" w:rsidRDefault="005D697E" w:rsidP="00E74569">
      <w:pPr>
        <w:rPr>
          <w:rFonts w:ascii="Arial" w:eastAsiaTheme="majorEastAsia" w:hAnsi="Arial" w:cs="Arial"/>
          <w:color w:val="0096DC"/>
          <w:sz w:val="28"/>
          <w:szCs w:val="28"/>
        </w:rPr>
      </w:pPr>
      <w:r w:rsidRPr="00A12DE8">
        <w:rPr>
          <w:rFonts w:ascii="Arial" w:eastAsiaTheme="majorEastAsia" w:hAnsi="Arial" w:cs="Arial"/>
          <w:color w:val="0096DC"/>
          <w:sz w:val="28"/>
          <w:szCs w:val="28"/>
        </w:rPr>
        <w:t>Régime de faveur : départ retraite de l’entrepreneur individuel (151 septies A)</w:t>
      </w:r>
    </w:p>
    <w:p w:rsidR="005D697E" w:rsidRPr="00E74569" w:rsidRDefault="005D697E" w:rsidP="00E74569">
      <w:pPr>
        <w:rPr>
          <w:rFonts w:ascii="Arial" w:eastAsiaTheme="majorEastAsia" w:hAnsi="Arial" w:cs="Arial"/>
          <w:color w:val="0096DC"/>
          <w:sz w:val="28"/>
          <w:szCs w:val="28"/>
        </w:rPr>
      </w:pPr>
      <w:r w:rsidRPr="00A12DE8">
        <w:rPr>
          <w:rFonts w:ascii="Arial" w:hAnsi="Arial" w:cs="Arial"/>
          <w:sz w:val="20"/>
          <w:szCs w:val="20"/>
        </w:rPr>
        <w:t xml:space="preserve">Lorsqu’une PME (moins de 250 salariés, chiffre d’affaires annuel inférieur à 50 M€ ou total de bilan inférieur à 43 M€) est cédée à l’occasion du départ à la retraite de l’entrepreneur, les plus-values, qu’elles soient à court terme ou à long terme, peuvent être exonérées, à condition notamment que l’activité ait été exercée pendant au moins 5 ans. Pour en bénéficier, le cédant ne doit toutefois pas contrôler l’entreprise cessionnaire, c’est-à-dire ne pas détenir, directement ou indirectement, plus de 50 % des droits de vote ou des droits dans les bénéfices sociaux de cette entreprise. Et il doit cesser toute fonction dans l’entreprise cédée et faire valoir ses droits à la retraite dans les 2 ans suivant ou précédant la cession. En pratique, rappelons que l’exonération est subordonnée à l’exercice d’une option lors du dépôt de la déclaration de cession d’activité. </w:t>
      </w:r>
    </w:p>
    <w:p w:rsidR="005D697E" w:rsidRPr="00A12DE8" w:rsidRDefault="005D697E" w:rsidP="005D69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12DE8">
        <w:rPr>
          <w:rFonts w:ascii="Arial" w:hAnsi="Arial" w:cs="Arial"/>
          <w:sz w:val="20"/>
          <w:szCs w:val="20"/>
        </w:rPr>
        <w:t>Note pour l'expert : cette possibilité n'est donnée que dans les cas de transmission à titre onéreux. Par ailleurs, le cas particulier où un fonds de commerce aurait été mis en location-gérance en amont d'une cession devra être analysé précisément tant au niveau fiscal que social, tant les textes</w:t>
      </w:r>
      <w:r w:rsidR="000B7C2A">
        <w:rPr>
          <w:rFonts w:ascii="Arial" w:hAnsi="Arial" w:cs="Arial"/>
          <w:sz w:val="20"/>
          <w:szCs w:val="20"/>
        </w:rPr>
        <w:t>.</w:t>
      </w:r>
      <w:r w:rsidR="00B611C9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D44872" w:rsidRDefault="00D44872"/>
    <w:sectPr w:rsidR="00D44872" w:rsidSect="008020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7E"/>
    <w:rsid w:val="000B7C2A"/>
    <w:rsid w:val="005D697E"/>
    <w:rsid w:val="008020BC"/>
    <w:rsid w:val="00B611C9"/>
    <w:rsid w:val="00D44872"/>
    <w:rsid w:val="00E7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104E"/>
  <w15:chartTrackingRefBased/>
  <w15:docId w15:val="{39341E56-D28F-4211-9444-3802507A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9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BBB89E-3E78-47B7-922D-63FF2DB270E2}"/>
</file>

<file path=customXml/itemProps2.xml><?xml version="1.0" encoding="utf-8"?>
<ds:datastoreItem xmlns:ds="http://schemas.openxmlformats.org/officeDocument/2006/customXml" ds:itemID="{DA19212A-B643-4C13-AEB0-78F5D6E777AC}"/>
</file>

<file path=customXml/itemProps3.xml><?xml version="1.0" encoding="utf-8"?>
<ds:datastoreItem xmlns:ds="http://schemas.openxmlformats.org/officeDocument/2006/customXml" ds:itemID="{B541B60C-33AF-4822-8814-243888ACD1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</dc:creator>
  <cp:keywords/>
  <dc:description/>
  <cp:lastModifiedBy>Malicia</cp:lastModifiedBy>
  <cp:revision>4</cp:revision>
  <dcterms:created xsi:type="dcterms:W3CDTF">2021-07-07T07:11:00Z</dcterms:created>
  <dcterms:modified xsi:type="dcterms:W3CDTF">2021-07-08T07:51:00Z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